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t>六安市机关事务管理处2022年政府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bdr w:val="none" w:color="auto" w:sz="0" w:space="0"/>
          <w:shd w:val="clear" w:fill="FFFFFF"/>
        </w:rPr>
        <w:t>信息公开工作年度报告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本年度报告是根据《中华人民共和国政府信息公开条例》《六安市人民政府办公室关于印发六安市2022年政务公开重点工作任务分工的通知》和市政务公开办公室工作安排，结合市机关事务管理处政府信息公开年度工作情况和有关统计数据编制而成。本年度报告中所列数据的统计期限自2022年1月1日起至2022年12月31日止。本年度报告的电子版可在六安市机关事务管理处门户网站（http://sgc.luan.gov.cn）“政务信息公开首页——政府信息公开年报”栏目下载。如对本报告有疑问，请与六安市机关事务管理处办公室联系（地址：六安市行政中心7号楼304室，电话：0564-3379022，邮编：237000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公文黑体" w:hAnsi="方正公文黑体" w:eastAsia="方正公文黑体" w:cs="方正公文黑体"/>
          <w:i w:val="0"/>
          <w:iCs w:val="0"/>
          <w:caps w:val="0"/>
          <w:color w:val="000000"/>
          <w:spacing w:val="0"/>
          <w:sz w:val="32"/>
          <w:szCs w:val="32"/>
        </w:rPr>
      </w:pPr>
      <w:r>
        <w:rPr>
          <w:rFonts w:hint="eastAsia" w:ascii="方正公文黑体" w:hAnsi="方正公文黑体" w:eastAsia="方正公文黑体" w:cs="方正公文黑体"/>
          <w:i w:val="0"/>
          <w:iCs w:val="0"/>
          <w:caps w:val="0"/>
          <w:color w:val="000000"/>
          <w:spacing w:val="0"/>
          <w:sz w:val="32"/>
          <w:szCs w:val="32"/>
          <w:bdr w:val="none" w:color="auto" w:sz="0" w:space="0"/>
          <w:shd w:val="clear" w:fill="FFFFFF"/>
        </w:rPr>
        <w:t>一、总体情况</w:t>
      </w:r>
    </w:p>
    <w:p>
      <w:pPr>
        <w:spacing w:line="600" w:lineRule="exact"/>
        <w:ind w:firstLine="643" w:firstLineChars="200"/>
        <w:rPr>
          <w:rFonts w:hint="eastAsia" w:ascii="Times New Roman" w:hAnsi="楷体" w:eastAsia="楷体" w:cs="Times New Roman"/>
          <w:b/>
          <w:bCs/>
          <w:sz w:val="32"/>
          <w:szCs w:val="32"/>
        </w:rPr>
      </w:pPr>
      <w:r>
        <w:rPr>
          <w:rFonts w:hint="eastAsia" w:ascii="Times New Roman" w:hAnsi="楷体" w:eastAsia="楷体" w:cs="Times New Roman"/>
          <w:b/>
          <w:bCs/>
          <w:sz w:val="32"/>
          <w:szCs w:val="32"/>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充分发挥政务公开辅政作用，提高机关事务管理工作透明度，不断深化政府信息公开的服务意识，持续做到应公开尽公开。2022年我处全年更新政务公开信息243条，其中主动回应21条、政策解读11条、财政资金30条、招录（聘）及录（聘）用4条。</w:t>
      </w:r>
    </w:p>
    <w:p>
      <w:pPr>
        <w:spacing w:line="600" w:lineRule="exact"/>
        <w:ind w:firstLine="643" w:firstLineChars="200"/>
        <w:rPr>
          <w:rFonts w:hint="eastAsia" w:ascii="Times New Roman" w:hAnsi="楷体" w:eastAsia="楷体" w:cs="Times New Roman"/>
          <w:b/>
          <w:bCs/>
          <w:sz w:val="32"/>
          <w:szCs w:val="32"/>
        </w:rPr>
      </w:pPr>
      <w:r>
        <w:rPr>
          <w:rFonts w:hint="eastAsia" w:ascii="Times New Roman" w:hAnsi="楷体" w:eastAsia="楷体" w:cs="Times New Roman"/>
          <w:b/>
          <w:bCs/>
          <w:sz w:val="32"/>
          <w:szCs w:val="32"/>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建立健全依申请公开工作机制。由处政务公开领导小组办公室牵头，各业务科室依法依规办理的答复机制，明确登记、审核、办理、答复、归档等工作流程。严格按照依申请公开办理时限，按时间结点回复，力求妥善处理。2022年度我处共收到1件依申请公开件。</w:t>
      </w:r>
    </w:p>
    <w:p>
      <w:pPr>
        <w:spacing w:line="600" w:lineRule="exact"/>
        <w:ind w:firstLine="643" w:firstLineChars="200"/>
        <w:rPr>
          <w:rFonts w:hint="eastAsia" w:ascii="Times New Roman" w:hAnsi="楷体" w:eastAsia="楷体" w:cs="Times New Roman"/>
          <w:b/>
          <w:bCs/>
          <w:sz w:val="32"/>
          <w:szCs w:val="32"/>
        </w:rPr>
      </w:pPr>
      <w:r>
        <w:rPr>
          <w:rFonts w:hint="eastAsia" w:ascii="Times New Roman" w:hAnsi="楷体" w:eastAsia="楷体" w:cs="Times New Roman"/>
          <w:b/>
          <w:bCs/>
          <w:sz w:val="32"/>
          <w:szCs w:val="32"/>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严格落实信息发布审核制度，确保信息“上网不涉密，涉密不上网”。年初，制定处政务公开工作责任清单，将工作内容分解到具体的科室和责任人，明确职责分工。政务公开经办人员定期对信息公开内容更新情况进行检测，掌握栏目更新进度，确保信息公开及时高效。</w:t>
      </w:r>
    </w:p>
    <w:p>
      <w:pPr>
        <w:spacing w:line="600" w:lineRule="exact"/>
        <w:ind w:firstLine="643" w:firstLineChars="200"/>
        <w:rPr>
          <w:rFonts w:hint="eastAsia" w:ascii="Times New Roman" w:hAnsi="楷体" w:eastAsia="楷体" w:cs="Times New Roman"/>
          <w:b/>
          <w:bCs/>
          <w:sz w:val="32"/>
          <w:szCs w:val="32"/>
        </w:rPr>
      </w:pPr>
      <w:r>
        <w:rPr>
          <w:rFonts w:hint="eastAsia" w:ascii="Times New Roman" w:hAnsi="楷体" w:eastAsia="楷体" w:cs="Times New Roman"/>
          <w:b/>
          <w:bCs/>
          <w:sz w:val="32"/>
          <w:szCs w:val="32"/>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我处定期安排网站平台的维护、更新，配合做好上级安全评估和审查。按照市政务公开办统一部署，认真编制调整、规范完善主动公开基本目录。加大政务新媒体平台建设，切实提升“六安市机关事务管理处发布”微信影响力，积极通过政务新媒体及时发布工作动态、政策文件等内容。2022年，微信公众号发布信息195条 。</w:t>
      </w:r>
    </w:p>
    <w:p>
      <w:pPr>
        <w:spacing w:line="600" w:lineRule="exact"/>
        <w:ind w:firstLine="643" w:firstLineChars="200"/>
        <w:rPr>
          <w:rFonts w:hint="eastAsia" w:ascii="Times New Roman" w:hAnsi="楷体" w:eastAsia="楷体" w:cs="Times New Roman"/>
          <w:b/>
          <w:bCs/>
          <w:sz w:val="32"/>
          <w:szCs w:val="32"/>
        </w:rPr>
      </w:pPr>
      <w:r>
        <w:rPr>
          <w:rFonts w:hint="eastAsia" w:ascii="Times New Roman" w:hAnsi="楷体" w:eastAsia="楷体" w:cs="Times New Roman"/>
          <w:b/>
          <w:bCs/>
          <w:sz w:val="32"/>
          <w:szCs w:val="32"/>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强化组织领导。根据工作实际及时调整处政务公开领导小组成员，由处主要负责人亲自抓，分管领导具体抓，专人承办政务公开日常工作，形成“一级抓一级，层层抓落实”的工作格局，为政务公开工作提供强有力的组织保障。加强工作指导。参加全市政府信息公开培训和相关工作会议，定期召开政务公开推进会，分解任务、攻克难点、推动进度。狠抓任务落实。坚持问题导向，及时整改省、市及第三方监测反馈的问题，2022年先后对照反馈意见开展专项整改19次，100%完成整改，并将整改结果在信息公开目录子栏目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公文黑体" w:hAnsi="方正公文黑体" w:eastAsia="方正公文黑体" w:cs="方正公文黑体"/>
          <w:i w:val="0"/>
          <w:iCs w:val="0"/>
          <w:caps w:val="0"/>
          <w:color w:val="000000"/>
          <w:spacing w:val="0"/>
          <w:sz w:val="32"/>
          <w:szCs w:val="32"/>
          <w:shd w:val="clear" w:fill="FFFFFF"/>
        </w:rPr>
      </w:pPr>
      <w:r>
        <w:rPr>
          <w:rFonts w:hint="eastAsia" w:ascii="方正公文黑体" w:hAnsi="方正公文黑体" w:eastAsia="方正公文黑体" w:cs="方正公文黑体"/>
          <w:i w:val="0"/>
          <w:iCs w:val="0"/>
          <w:caps w:val="0"/>
          <w:color w:val="000000"/>
          <w:spacing w:val="0"/>
          <w:sz w:val="32"/>
          <w:szCs w:val="32"/>
          <w:shd w:val="clear" w:fill="FFFFFF"/>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 　</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　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仿宋_GB2312" w:cs="Calibri"/>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三、收到和处理政府信息公开申请情况</w:t>
      </w:r>
    </w:p>
    <w:tbl>
      <w:tblPr>
        <w:tblW w:w="974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（三）不予公开</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（四）无法提供</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（五）不予处理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（六）其他处理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kern w:val="0"/>
                <w:sz w:val="20"/>
                <w:szCs w:val="20"/>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公文黑体" w:hAnsi="方正公文黑体" w:eastAsia="方正公文黑体" w:cs="方正公文黑体"/>
          <w:i w:val="0"/>
          <w:iCs w:val="0"/>
          <w:caps w:val="0"/>
          <w:color w:val="000000"/>
          <w:spacing w:val="0"/>
          <w:sz w:val="32"/>
          <w:szCs w:val="32"/>
          <w:shd w:val="clear" w:fill="FFFFFF"/>
        </w:rPr>
      </w:pPr>
      <w:r>
        <w:rPr>
          <w:rFonts w:hint="eastAsia" w:ascii="方正公文黑体" w:hAnsi="方正公文黑体" w:eastAsia="方正公文黑体" w:cs="方正公文黑体"/>
          <w:i w:val="0"/>
          <w:iCs w:val="0"/>
          <w:caps w:val="0"/>
          <w:color w:val="000000"/>
          <w:spacing w:val="0"/>
          <w:sz w:val="32"/>
          <w:szCs w:val="32"/>
          <w:shd w:val="clear" w:fill="FFFFFF"/>
        </w:rPr>
        <w:t>四、政府信息公开行政复议、行政诉讼情况</w:t>
      </w:r>
    </w:p>
    <w:tbl>
      <w:tblPr>
        <w:tblW w:w="974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纠正</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审结</w:t>
            </w:r>
          </w:p>
        </w:tc>
        <w:tc>
          <w:tcPr>
            <w:tcW w:w="64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eastAsia="仿宋_GB2312" w:cs="仿宋_GB2312" w:hAnsiTheme="minorHAnsi"/>
                <w:kern w:val="0"/>
                <w:sz w:val="24"/>
                <w:szCs w:val="24"/>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bdr w:val="none" w:color="auto" w:sz="0" w:space="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0"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0"/>
                <w:szCs w:val="20"/>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公文黑体" w:hAnsi="方正公文黑体" w:eastAsia="方正公文黑体" w:cs="方正公文黑体"/>
          <w:i w:val="0"/>
          <w:iCs w:val="0"/>
          <w:caps w:val="0"/>
          <w:color w:val="000000"/>
          <w:spacing w:val="0"/>
          <w:sz w:val="32"/>
          <w:szCs w:val="32"/>
          <w:shd w:val="clear" w:fill="FFFFFF"/>
        </w:rPr>
      </w:pPr>
      <w:r>
        <w:rPr>
          <w:rFonts w:hint="eastAsia" w:ascii="方正公文黑体" w:hAnsi="方正公文黑体" w:eastAsia="方正公文黑体" w:cs="方正公文黑体"/>
          <w:i w:val="0"/>
          <w:iCs w:val="0"/>
          <w:caps w:val="0"/>
          <w:color w:val="000000"/>
          <w:spacing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2022年，我处政府信息公开工作持续推进，但从日常考评和第三方监测的反馈情况来看，存在不足和短板。主要表现为：负责政府信息公开的人员更换频繁，不利于政府信息公开工作持续性开展。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下一步，我处将持续强化队伍建设，提高经办人员对信息公开工作规律性认识，细化和完善公开制度，聚焦机关事务管理工作重点，扩大公开范围，细化公开内容，提高更新频率，让公众及时获取信息。同时定期召开相关业务部署会，积极组织经办人员参与专题业务培训，做好新老人员交替工作，不断提高经办人的业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公文黑体" w:hAnsi="方正公文黑体" w:eastAsia="方正公文黑体" w:cs="方正公文黑体"/>
          <w:i w:val="0"/>
          <w:iCs w:val="0"/>
          <w:caps w:val="0"/>
          <w:color w:val="000000"/>
          <w:spacing w:val="0"/>
          <w:sz w:val="32"/>
          <w:szCs w:val="32"/>
          <w:shd w:val="clear" w:fill="FFFFFF"/>
        </w:rPr>
      </w:pPr>
      <w:r>
        <w:rPr>
          <w:rFonts w:hint="eastAsia" w:ascii="方正公文黑体" w:hAnsi="方正公文黑体" w:eastAsia="方正公文黑体" w:cs="方正公文黑体"/>
          <w:i w:val="0"/>
          <w:iCs w:val="0"/>
          <w:caps w:val="0"/>
          <w:color w:val="000000"/>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按照《国务院办公厅关于印发〈政府信息公开信息处理费管理办法〉的通知》（国办函〔2020〕109号）规定的按件、按量收费标准，本年度没有产生信息公开处理费。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shd w:val="clear" w:fill="FFFFFF"/>
        </w:rPr>
      </w:pPr>
    </w:p>
    <w:sectPr>
      <w:pgSz w:w="11906" w:h="16838"/>
      <w:pgMar w:top="1440" w:right="1800" w:bottom="1440" w:left="1800"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DF85B6-781F-42F8-81B9-F3ABEA946D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588AF5F-126B-4AD7-B80A-9A4A0854A4F9}"/>
  </w:font>
  <w:font w:name="微软雅黑">
    <w:panose1 w:val="020B0503020204020204"/>
    <w:charset w:val="86"/>
    <w:family w:val="auto"/>
    <w:pitch w:val="default"/>
    <w:sig w:usb0="80000287" w:usb1="280F3C52" w:usb2="00000016" w:usb3="00000000" w:csb0="0004001F" w:csb1="00000000"/>
    <w:embedRegular r:id="rId3" w:fontKey="{D6051D45-CEB3-4C63-B603-2C32BCAE1EAC}"/>
  </w:font>
  <w:font w:name="仿宋_GB2312">
    <w:panose1 w:val="02010609030101010101"/>
    <w:charset w:val="86"/>
    <w:family w:val="auto"/>
    <w:pitch w:val="default"/>
    <w:sig w:usb0="00000001" w:usb1="080E0000" w:usb2="00000000" w:usb3="00000000" w:csb0="00040000" w:csb1="00000000"/>
    <w:embedRegular r:id="rId4" w:fontKey="{D2EDF01A-A02D-4CD8-A3DF-4E67A2409876}"/>
  </w:font>
  <w:font w:name="楷体">
    <w:panose1 w:val="02010609060101010101"/>
    <w:charset w:val="86"/>
    <w:family w:val="auto"/>
    <w:pitch w:val="default"/>
    <w:sig w:usb0="800002BF" w:usb1="38CF7CFA" w:usb2="00000016" w:usb3="00000000" w:csb0="00040001" w:csb1="00000000"/>
    <w:embedRegular r:id="rId5" w:fontKey="{AFDE9C31-0D37-40D4-BC21-7A561E045CC0}"/>
  </w:font>
  <w:font w:name="方正大标宋简体">
    <w:panose1 w:val="02000000000000000000"/>
    <w:charset w:val="86"/>
    <w:family w:val="auto"/>
    <w:pitch w:val="default"/>
    <w:sig w:usb0="A00002BF" w:usb1="184F6CFA" w:usb2="00000012" w:usb3="00000000" w:csb0="00040001" w:csb1="00000000"/>
  </w:font>
  <w:font w:name="方正公文黑体">
    <w:panose1 w:val="02000500000000000000"/>
    <w:charset w:val="86"/>
    <w:family w:val="auto"/>
    <w:pitch w:val="default"/>
    <w:sig w:usb0="A00002BF" w:usb1="38CF7CFA" w:usb2="00000016" w:usb3="00000000" w:csb0="00040001" w:csb1="00000000"/>
    <w:embedRegular r:id="rId6" w:fontKey="{550A00F7-115E-4CAC-82BA-45202EBE8FAA}"/>
  </w:font>
  <w:font w:name="方正楷体_GB2312">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I2NzljNTk3M2VjMjkxOTQzZDcyNWQ1ZWI2NTMifQ=="/>
  </w:docVars>
  <w:rsids>
    <w:rsidRoot w:val="170052ED"/>
    <w:rsid w:val="170052ED"/>
    <w:rsid w:val="2FD954EC"/>
    <w:rsid w:val="4EF726D8"/>
    <w:rsid w:val="54AD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2024-02-21T00:35:00Z</dcterms:created>
  <dc:creator>bgs</dc:creator>
  <cp:lastModifiedBy>bgs</cp:lastModifiedBy>
  <dcterms:modified xsi:type="dcterms:W3CDTF">2024-02-21T00:39:56Z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2CF1B618DBF4455DA57C4BBB93967449_11</vt:lpwstr>
  </property>
</Properties>
</file>